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2"/>
    <w:p>
      <w:pPr>
        <w:pStyle w:val="Heading1"/>
      </w:pPr>
      <w:r>
        <w:t xml:space="preserve">Homiletics Analysis: 1 Kings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12 records the fracture of the united monarchy following Solomon’s death. Rehoboam, Solomon’s son, travels to Shechem to be confirmed as king over all Israel. The northern tribal leaders, led by Jeroboam (recently returned from Egypt), present a single request: lighten the crushing labor burden Solomon imposed. Rehoboam takes three days to deliberate, consulting first the elders who served Solomon — who counsel him toward servant-leadership and clemency — then the young men he grew up with, who counsel him toward severity and dominance. Rehoboam follows the young men, delivers a harsh and contemptuous response, and the ten northern tribes immediately fracture from the house of David under the cry:</w:t>
      </w:r>
      <w:r>
        <w:t xml:space="preserve"> </w:t>
      </w:r>
      <w:r>
        <w:t xml:space="preserve">“What portion do we have in David?”</w:t>
      </w:r>
      <w:r>
        <w:t xml:space="preserve"> </w:t>
      </w:r>
      <w:r>
        <w:t xml:space="preserve">The narrator interposes a theologically decisive commentary in verses 15 and 24: this turn of events was</w:t>
      </w:r>
      <w:r>
        <w:t xml:space="preserve"> </w:t>
      </w:r>
      <w:r>
        <w:t xml:space="preserve">“from the LORD,”</w:t>
      </w:r>
      <w:r>
        <w:t xml:space="preserve"> </w:t>
      </w:r>
      <w:r>
        <w:t xml:space="preserve">fulfilling Ahijah’s prophecy to Jeroboam in chapter 11. Rehoboam’s attempt to reassert control by force is thwarted when the man of God Shemaiah delivers a direct word from God forbidding civil war. The chapter closes with Jeroboam consolidating power in the north, establishing Bethel and Dan as alternative worship sites, installing golden calves, appointing non-Levitical priests, and creating a counterfeit festival calendar — a systematic dismantling of covenant worship designed to prevent the northern population from returning to Jerusalem and thereby to Davidic political loyalty.</w:t>
      </w:r>
    </w:p>
    <w:p>
      <w:pPr>
        <w:pStyle w:val="BodyText"/>
      </w:pPr>
      <w:r>
        <w:rPr>
          <w:b/>
          <w:bCs/>
        </w:rPr>
        <w:t xml:space="preserve">This Text — Intent</w:t>
      </w:r>
    </w:p>
    <w:p>
      <w:pPr>
        <w:pStyle w:val="BodyText"/>
      </w:pPr>
      <w:r>
        <w:t xml:space="preserve">God is seeking to accomplish two things simultaneously through this chapter. First, He is demonstrating His sovereign governance of human history — including human folly, pride, and political miscalculation — to accomplish covenant purposes that transcend any human dynasty. Rehoboam’s arrogance does not derail God’s plan; it executes it. Second, God is warning His people about the catastrophic consequences of two interlocking sins: the pride and contempt for others that destroys community, and the calculated corruption of worship that substitutes religious convenience for covenant faithfulness. Jeroboam’s golden calves are not atheism — they are syncretism wearing the costume of Yahwism (</w:t>
      </w:r>
      <w:r>
        <w:t xml:space="preserve">“Here are your gods, O Israel, who brought you up out of Egypt”</w:t>
      </w:r>
      <w:r>
        <w:t xml:space="preserve">), and their installation marks the beginning of a centuries-long spiritual catastrophe. God intends readers to feel the weight of both failures and to recognize in each a pattern that recurs in every generation — including their own.</w:t>
      </w:r>
    </w:p>
    <w:p>
      <w:r>
        <w:pict>
          <v:rect style="width:0;height:1.5pt" o:hralign="center" o:hrstd="t" o:hr="t"/>
        </w:pict>
      </w:r>
    </w:p>
    <w:p>
      <w:pPr>
        <w:pStyle w:val="FirstParagraph"/>
      </w:pPr>
      <w:r>
        <w:rPr>
          <w:b/>
          <w:bCs/>
        </w:rPr>
        <w:t xml:space="preserve">Subject Sentence:</w:t>
      </w:r>
      <w:r>
        <w:t xml:space="preserve"> </w:t>
      </w:r>
      <w:r>
        <w:t xml:space="preserve">The kingdom divides through human pride, fulfilling God’s sovereign word and inaugurating Israel’s long covenant decline.</w:t>
      </w:r>
    </w:p>
    <w:p>
      <w:r>
        <w:pict>
          <v:rect style="width:0;height:1.5pt" o:hralign="center" o:hrstd="t" o:hr="t"/>
        </w:pict>
      </w:r>
    </w:p>
    <w:p>
      <w:pPr>
        <w:pStyle w:val="FirstParagraph"/>
      </w:pPr>
      <w:r>
        <w:rPr>
          <w:b/>
          <w:bCs/>
        </w:rPr>
        <w:t xml:space="preserve">Primary Claim:</w:t>
      </w:r>
      <w:r>
        <w:t xml:space="preserve"> </w:t>
      </w:r>
      <w:r>
        <w:t xml:space="preserve">God rules over the prideful decisions of leaders and the corrupted worship of nations — not by preventing their folly but by working through it to accomplish His purposes, while the folly itself exacts a devastating generational price.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Sovereignty/Responsibility Question (vv. 15, 24)</w:t>
      </w:r>
    </w:p>
    <w:p>
      <w:pPr>
        <w:pStyle w:val="BodyText"/>
      </w:pPr>
      <w:r>
        <w:t xml:space="preserve">The most significant interpretive issue in 1 Kings 12 is the relationship between divine sovereignty and human responsibility in Rehoboam’s disastrous decision. Verse 15 states plainly:</w:t>
      </w:r>
      <w:r>
        <w:t xml:space="preserve"> </w:t>
      </w:r>
      <w:r>
        <w:t xml:space="preserve">“So the king did not listen to the people, for it was a turn of affairs brought about by the LORD to fulfill his word.”</w:t>
      </w:r>
      <w:r>
        <w:t xml:space="preserve"> </w:t>
      </w:r>
      <w:r>
        <w:t xml:space="preserve">Some Arminian and Wesleyan readers resist the implication that God</w:t>
      </w:r>
      <w:r>
        <w:t xml:space="preserve"> </w:t>
      </w:r>
      <w:r>
        <w:t xml:space="preserve">“caused”</w:t>
      </w:r>
      <w:r>
        <w:t xml:space="preserve"> </w:t>
      </w:r>
      <w:r>
        <w:t xml:space="preserve">Rehoboam’s folly, preferring to read divine providence here as God’s foreknowledge shaping the outcome after the fact — God knew Rehoboam would act this way and had already spoken to that end. This reading, while motivated by concern for human accountability, strains the text’s plain syntax. The Hebrew (</w:t>
      </w:r>
      <w:r>
        <w:rPr>
          <w:i/>
          <w:iCs/>
        </w:rPr>
        <w:t xml:space="preserve">sîbbâ hāytāh mē’im YHWH</w:t>
      </w:r>
      <w:r>
        <w:t xml:space="preserve">) indicates a circumstance or turn of affairs originating from God, not merely anticipated by Him. The Reformed reading — that God works through secondary causes (including human sin and folly) without Himself being the author of the sin — accounts for the full text: Rehoboam genuinely and culpably makes a foolish, proud decision, and that very decision is the instrument of God’s purposes. The text holds both without embarrassment. To soften the sovereignty language is to miss the narrator’s entire theological point: Israel’s history is not the story of human political decisions occasionally intersected by God, but the story of God’s covenant purposes moving through human decisions as water moves through channels.</w:t>
      </w:r>
    </w:p>
    <w:p>
      <w:pPr>
        <w:pStyle w:val="BodyText"/>
      </w:pPr>
      <w:r>
        <w:rPr>
          <w:b/>
          <w:bCs/>
        </w:rPr>
        <w:t xml:space="preserve">Jeroboam’s Golden Calves: Syncretism or Apostasy?</w:t>
      </w:r>
    </w:p>
    <w:p>
      <w:pPr>
        <w:pStyle w:val="BodyText"/>
      </w:pPr>
      <w:r>
        <w:t xml:space="preserve">A second interpretive question concerns the nature of Jeroboam’s religious innovation (vv. 28-33). Some interpreters — particularly those emphasizing political-historical background — read Jeroboam’s act primarily as a political maneuver to prevent northern Israelites from traveling to Jerusalem, with the golden calves as a continuation of legitimate Yahweh worship using a non-Ark iconographic tradition (the bull as a pedestal for the invisible divine presence, paralleling the cherubim-throne in the Jerusalem temple). This reading has some historical-cultural merit and should be acknowledged: Jeroboam’s formula (</w:t>
      </w:r>
      <w:r>
        <w:t xml:space="preserve">“Here are your gods who brought you up out of Egypt”</w:t>
      </w:r>
      <w:r>
        <w:t xml:space="preserve">) echoes Aaron’s language at Sinai (Exodus 32:4), and both likely reflect an attempt to maintain Yahwistic identity in non-Jerusalem cultic form. However, the text refuses to treat this as theologically neutral. The narrator’s repeated phrase</w:t>
      </w:r>
      <w:r>
        <w:t xml:space="preserve"> </w:t>
      </w:r>
      <w:r>
        <w:t xml:space="preserve">“this thing became a sin”</w:t>
      </w:r>
      <w:r>
        <w:t xml:space="preserve"> </w:t>
      </w:r>
      <w:r>
        <w:t xml:space="preserve">(v. 30) and the entire evaluative framework of Kings — every northern king is measured against whether he</w:t>
      </w:r>
      <w:r>
        <w:t xml:space="preserve"> </w:t>
      </w:r>
      <w:r>
        <w:t xml:space="preserve">“walked in all the ways of Jeroboam the son of Nebat, who made Israel to sin”</w:t>
      </w:r>
      <w:r>
        <w:t xml:space="preserve"> </w:t>
      </w:r>
      <w:r>
        <w:t xml:space="preserve">— signals that the golden calf innovation is treated as a covenant-breaking departure from prescribed Yahweh worship, regardless of its Yahwistic veneer. The Reformed reading is that the second commandment (the</w:t>
      </w:r>
      <w:r>
        <w:t xml:space="preserve"> </w:t>
      </w:r>
      <w:r>
        <w:rPr>
          <w:i/>
          <w:iCs/>
        </w:rPr>
        <w:t xml:space="preserve">how</w:t>
      </w:r>
      <w:r>
        <w:t xml:space="preserve"> </w:t>
      </w:r>
      <w:r>
        <w:t xml:space="preserve">of worship) is as much a covenant obligation as the first (the</w:t>
      </w:r>
      <w:r>
        <w:t xml:space="preserve"> </w:t>
      </w:r>
      <w:r>
        <w:rPr>
          <w:i/>
          <w:iCs/>
        </w:rPr>
        <w:t xml:space="preserve">who</w:t>
      </w:r>
      <w:r>
        <w:t xml:space="preserve"> </w:t>
      </w:r>
      <w:r>
        <w:t xml:space="preserve">of worship). Jeroboam’s calves represent will-worship — substituting humanly devised convenience for divinely prescribed form — and this is precisely the sin the text indicts. The historical-critical reader’s contextual insight (political motivation, iconographic tradition) is worth retaining to explain</w:t>
      </w:r>
      <w:r>
        <w:t xml:space="preserve"> </w:t>
      </w:r>
      <w:r>
        <w:rPr>
          <w:i/>
          <w:iCs/>
        </w:rPr>
        <w:t xml:space="preserve">why</w:t>
      </w:r>
      <w:r>
        <w:t xml:space="preserve"> </w:t>
      </w:r>
      <w:r>
        <w:t xml:space="preserve">Jeroboam did what he did; it does not mitigate</w:t>
      </w:r>
      <w:r>
        <w:t xml:space="preserve"> </w:t>
      </w:r>
      <w:r>
        <w:rPr>
          <w:i/>
          <w:iCs/>
        </w:rPr>
        <w:t xml:space="preserve">what</w:t>
      </w:r>
      <w:r>
        <w:t xml:space="preserve"> </w:t>
      </w:r>
      <w:r>
        <w:t xml:space="preserve">he did.</w:t>
      </w:r>
    </w:p>
    <w:p>
      <w:pPr>
        <w:pStyle w:val="BodyText"/>
      </w:pPr>
      <w:r>
        <w:rPr>
          <w:b/>
          <w:bCs/>
        </w:rPr>
        <w:t xml:space="preserve">Dispensational Reading of the Division</w:t>
      </w:r>
    </w:p>
    <w:p>
      <w:pPr>
        <w:pStyle w:val="BodyText"/>
      </w:pPr>
      <w:r>
        <w:t xml:space="preserve">Dispensational interpreters sometimes read the northern/southern kingdom division through an Israel/Church distinction lens, treating the ongoing northern apostasy as a matter primarily concerning ethnic Israel’s covenant standing and eschatological restoration, with limited direct application to the church. This is worth noting and qualifying. The text’s applicational force does not require the reader to inhabit a precise position on Israel’s future; the patterns of pride, foolish counsel, and corrupted worship are presented as instructive for God’s covenant people in any era. Reformed readers find in this chapter not a purely ethnically-bounded historical event but a paradigm case of covenant faithlessness whose lessons are canonically extended (cf. 1 Corinthians 10:6-11:</w:t>
      </w:r>
      <w:r>
        <w:t xml:space="preserve"> </w:t>
      </w:r>
      <w:r>
        <w:t xml:space="preserve">“these things happened as examples for us”</w:t>
      </w:r>
      <w:r>
        <w:t xml:space="preser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32:1-35</w:t>
      </w:r>
      <w:r>
        <w:t xml:space="preserve"> </w:t>
      </w:r>
      <w:r>
        <w:t xml:space="preserve">— Aaron’s golden calf at Sinai provides the direct typological background for Jeroboam’s calves; Jeroboam’s formula nearly quotes Aaron’s, and the narrator intends readers to hear the Sinai apostasy replaying in the north. The pattern of covenant breach dressed in Yahwistic language is established here at the very formation of the nation.</w:t>
      </w:r>
    </w:p>
    <w:p>
      <w:pPr>
        <w:numPr>
          <w:ilvl w:val="0"/>
          <w:numId w:val="1001"/>
        </w:numPr>
      </w:pPr>
      <w:r>
        <w:rPr>
          <w:b/>
          <w:bCs/>
        </w:rPr>
        <w:t xml:space="preserve">Deuteronomy 17:14-20</w:t>
      </w:r>
      <w:r>
        <w:t xml:space="preserve"> </w:t>
      </w:r>
      <w:r>
        <w:t xml:space="preserve">— The law of the king commands that Israel’s king copy and read the Torah, not multiply horses, wives, or wealth — and specifically not</w:t>
      </w:r>
      <w:r>
        <w:t xml:space="preserve"> </w:t>
      </w:r>
      <w:r>
        <w:t xml:space="preserve">“exalt himself above his brothers.”</w:t>
      </w:r>
      <w:r>
        <w:t xml:space="preserve"> </w:t>
      </w:r>
      <w:r>
        <w:t xml:space="preserve">Rehoboam’s contemptuous response to the northern tribes (</w:t>
      </w:r>
      <w:r>
        <w:t xml:space="preserve">“My little finger is thicker than my father’s loins”</w:t>
      </w:r>
      <w:r>
        <w:t xml:space="preserve">) is a precise violation of the servant-king ideal; the Deuteronomic framework means this failure is covenant failure, not merely political miscalculation.</w:t>
      </w:r>
    </w:p>
    <w:p>
      <w:pPr>
        <w:numPr>
          <w:ilvl w:val="0"/>
          <w:numId w:val="1001"/>
        </w:numPr>
      </w:pPr>
      <w:r>
        <w:rPr>
          <w:b/>
          <w:bCs/>
        </w:rPr>
        <w:t xml:space="preserve">1 Samuel 8:4-22</w:t>
      </w:r>
      <w:r>
        <w:t xml:space="preserve"> </w:t>
      </w:r>
      <w:r>
        <w:t xml:space="preserve">— Israel’s demand for a king and God’s warning that the king would conscript their sons, daughters, and fields into royal service establishes the very labor burden that Rehoboam chooses to intensify. The chickens of 1 Samuel 8 come home to roost in 1 Kings 12; human kingship has always carried this danger, and Solomon’s excess brought it to crisis.</w:t>
      </w:r>
    </w:p>
    <w:p>
      <w:pPr>
        <w:numPr>
          <w:ilvl w:val="0"/>
          <w:numId w:val="1001"/>
        </w:numPr>
      </w:pPr>
      <w:r>
        <w:rPr>
          <w:b/>
          <w:bCs/>
        </w:rPr>
        <w:t xml:space="preserve">Proverbs 11:2; 16:18</w:t>
      </w:r>
      <w:r>
        <w:t xml:space="preserve"> </w:t>
      </w:r>
      <w:r>
        <w:t xml:space="preserve">—</w:t>
      </w:r>
      <w:r>
        <w:t xml:space="preserve"> </w:t>
      </w:r>
      <w:r>
        <w:t xml:space="preserve">“When pride comes, then comes disgrace”</w:t>
      </w:r>
      <w:r>
        <w:t xml:space="preserve"> </w:t>
      </w:r>
      <w:r>
        <w:t xml:space="preserve">and</w:t>
      </w:r>
      <w:r>
        <w:t xml:space="preserve"> </w:t>
      </w:r>
      <w:r>
        <w:t xml:space="preserve">“Pride goes before destruction, and a haughty spirit before a fall”</w:t>
      </w:r>
      <w:r>
        <w:t xml:space="preserve"> </w:t>
      </w:r>
      <w:r>
        <w:t xml:space="preserve">— wisdom literature frames Rehoboam’s folly as the archetypal trajectory of pride. The chapter is a narrative illustration of these proverbs in high-stakes royal context.</w:t>
      </w:r>
    </w:p>
    <w:p>
      <w:pPr>
        <w:numPr>
          <w:ilvl w:val="0"/>
          <w:numId w:val="1001"/>
        </w:numPr>
      </w:pPr>
      <w:r>
        <w:rPr>
          <w:b/>
          <w:bCs/>
        </w:rPr>
        <w:t xml:space="preserve">1 Corinthians 10:6-12</w:t>
      </w:r>
      <w:r>
        <w:t xml:space="preserve"> </w:t>
      </w:r>
      <w:r>
        <w:t xml:space="preserve">— Paul explicitly treats Israel’s wilderness and early settlement failures as</w:t>
      </w:r>
      <w:r>
        <w:t xml:space="preserve"> </w:t>
      </w:r>
      <w:r>
        <w:t xml:space="preserve">“examples”</w:t>
      </w:r>
      <w:r>
        <w:t xml:space="preserve"> </w:t>
      </w:r>
      <w:r>
        <w:t xml:space="preserve">(</w:t>
      </w:r>
      <w:r>
        <w:rPr>
          <w:i/>
          <w:iCs/>
        </w:rPr>
        <w:t xml:space="preserve">typoi</w:t>
      </w:r>
      <w:r>
        <w:t xml:space="preserve">) written for the instruction of the church, with the warning</w:t>
      </w:r>
      <w:r>
        <w:t xml:space="preserve"> </w:t>
      </w:r>
      <w:r>
        <w:t xml:space="preserve">“let anyone who thinks that he stands take heed lest he fall.”</w:t>
      </w:r>
      <w:r>
        <w:t xml:space="preserve"> </w:t>
      </w:r>
      <w:r>
        <w:t xml:space="preserve">The pattern of 1 Kings 12 — pride, willful folly, corrupted worship — falls squarely within the paradigmatic function Paul identifies.</w:t>
      </w:r>
    </w:p>
    <w:p>
      <w:r>
        <w:pict>
          <v:rect style="width:0;height:1.5pt" o:hralign="center" o:hrstd="t" o:hr="t"/>
        </w:pict>
      </w:r>
    </w:p>
    <w:p>
      <w:pPr>
        <w:pStyle w:val="FirstParagraph"/>
      </w:pPr>
      <w:r>
        <w:rPr>
          <w:b/>
          <w:bCs/>
        </w:rPr>
        <w:t xml:space="preserve">Aim:</w:t>
      </w:r>
      <w:r>
        <w:t xml:space="preserve"> </w:t>
      </w:r>
      <w:r>
        <w:t xml:space="preserve">To confront readers with the double warning of this chapter — that pride destroys what God has built, and that corrupted worship destroys what pride leaves standing — and to ground both warnings in the sovereignty of a God who works through human folly without being served by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Rehoboam goes to Shechem; all Israel gathers to make him king</w:t>
            </w:r>
          </w:p>
        </w:tc>
        <w:tc>
          <w:tcPr/>
          <w:p>
            <w:pPr>
              <w:pStyle w:val="Compact"/>
            </w:pPr>
            <w:r>
              <w:t xml:space="preserve">Shechem is symbolically significant — covenant renewal site; northern tribal territory; not Jerusalem</w:t>
            </w:r>
          </w:p>
        </w:tc>
      </w:tr>
      <w:tr>
        <w:tc>
          <w:tcPr/>
          <w:p>
            <w:pPr>
              <w:pStyle w:val="Compact"/>
            </w:pPr>
            <w:r>
              <w:t xml:space="preserve">2-3</w:t>
            </w:r>
          </w:p>
        </w:tc>
        <w:tc>
          <w:tcPr/>
          <w:p>
            <w:pPr>
              <w:pStyle w:val="Compact"/>
            </w:pPr>
            <w:r>
              <w:t xml:space="preserve">Jeroboam recalled from Egypt; leads the assembly of Israel</w:t>
            </w:r>
          </w:p>
        </w:tc>
        <w:tc>
          <w:tcPr/>
          <w:p>
            <w:pPr>
              <w:pStyle w:val="Compact"/>
            </w:pPr>
            <w:r>
              <w:t xml:space="preserve">Jeroboam’s return signals organized northern resistance; his presence frames this as a test of Rehoboam’s leadership</w:t>
            </w:r>
          </w:p>
        </w:tc>
      </w:tr>
      <w:tr>
        <w:tc>
          <w:tcPr/>
          <w:p>
            <w:pPr>
              <w:pStyle w:val="Compact"/>
            </w:pPr>
            <w:r>
              <w:t xml:space="preserve">4</w:t>
            </w:r>
          </w:p>
        </w:tc>
        <w:tc>
          <w:tcPr/>
          <w:p>
            <w:pPr>
              <w:pStyle w:val="Compact"/>
            </w:pPr>
            <w:r>
              <w:t xml:space="preserve">The people’s petition:</w:t>
            </w:r>
            <w:r>
              <w:t xml:space="preserve"> </w:t>
            </w:r>
            <w:r>
              <w:t xml:space="preserve">“Your father made our yoke heavy — lighten it, and we will serve you”</w:t>
            </w:r>
          </w:p>
        </w:tc>
        <w:tc>
          <w:tcPr/>
          <w:p>
            <w:pPr>
              <w:pStyle w:val="Compact"/>
            </w:pPr>
            <w:r>
              <w:t xml:space="preserve">Single, reasonable, conditional offer of loyalty; the petition is politically moderate, not revolutionary</w:t>
            </w:r>
          </w:p>
        </w:tc>
      </w:tr>
      <w:tr>
        <w:tc>
          <w:tcPr/>
          <w:p>
            <w:pPr>
              <w:pStyle w:val="Compact"/>
            </w:pPr>
            <w:r>
              <w:t xml:space="preserve">5</w:t>
            </w:r>
          </w:p>
        </w:tc>
        <w:tc>
          <w:tcPr/>
          <w:p>
            <w:pPr>
              <w:pStyle w:val="Compact"/>
            </w:pPr>
            <w:r>
              <w:t xml:space="preserve">Rehoboam asks for three days to deliberate</w:t>
            </w:r>
          </w:p>
        </w:tc>
        <w:tc>
          <w:tcPr/>
          <w:p>
            <w:pPr>
              <w:pStyle w:val="Compact"/>
            </w:pPr>
            <w:r>
              <w:t xml:space="preserve">Deliberation time itself is neither wise nor foolish; the outcome depends on whom he consults</w:t>
            </w:r>
          </w:p>
        </w:tc>
      </w:tr>
      <w:tr>
        <w:tc>
          <w:tcPr/>
          <w:p>
            <w:pPr>
              <w:pStyle w:val="Compact"/>
            </w:pPr>
            <w:r>
              <w:t xml:space="preserve">6-7</w:t>
            </w:r>
          </w:p>
        </w:tc>
        <w:tc>
          <w:tcPr/>
          <w:p>
            <w:pPr>
              <w:pStyle w:val="Compact"/>
            </w:pPr>
            <w:r>
              <w:t xml:space="preserve">Elders’ counsel: serve the people, speak good words to them, and they will serve you forever</w:t>
            </w:r>
          </w:p>
        </w:tc>
        <w:tc>
          <w:tcPr/>
          <w:p>
            <w:pPr>
              <w:pStyle w:val="Compact"/>
            </w:pPr>
            <w:r>
              <w:t xml:space="preserve">Servant-leadership counsel; the elders understand that authority requires consent and that harshness destroys loyalty</w:t>
            </w:r>
          </w:p>
        </w:tc>
      </w:tr>
      <w:tr>
        <w:tc>
          <w:tcPr/>
          <w:p>
            <w:pPr>
              <w:pStyle w:val="Compact"/>
            </w:pPr>
            <w:r>
              <w:t xml:space="preserve">8</w:t>
            </w:r>
          </w:p>
        </w:tc>
        <w:tc>
          <w:tcPr/>
          <w:p>
            <w:pPr>
              <w:pStyle w:val="Compact"/>
            </w:pPr>
            <w:r>
              <w:t xml:space="preserve">Rehoboam rejects the elders’ counsel</w:t>
            </w:r>
          </w:p>
        </w:tc>
        <w:tc>
          <w:tcPr/>
          <w:p>
            <w:pPr>
              <w:pStyle w:val="Compact"/>
            </w:pPr>
            <w:r>
              <w:t xml:space="preserve">The verb</w:t>
            </w:r>
            <w:r>
              <w:t xml:space="preserve"> </w:t>
            </w:r>
            <w:r>
              <w:t xml:space="preserve">“forsook”</w:t>
            </w:r>
            <w:r>
              <w:t xml:space="preserve"> </w:t>
            </w:r>
            <w:r>
              <w:t xml:space="preserve">(</w:t>
            </w:r>
            <w:r>
              <w:rPr>
                <w:i/>
                <w:iCs/>
              </w:rPr>
              <w:t xml:space="preserve">wayyaʿazeḇ</w:t>
            </w:r>
            <w:r>
              <w:t xml:space="preserve">) is strong — active abandonment, not mere disagreement</w:t>
            </w:r>
          </w:p>
        </w:tc>
      </w:tr>
      <w:tr>
        <w:tc>
          <w:tcPr/>
          <w:p>
            <w:pPr>
              <w:pStyle w:val="Compact"/>
            </w:pPr>
            <w:r>
              <w:t xml:space="preserve">9-11</w:t>
            </w:r>
          </w:p>
        </w:tc>
        <w:tc>
          <w:tcPr/>
          <w:p>
            <w:pPr>
              <w:pStyle w:val="Compact"/>
            </w:pPr>
            <w:r>
              <w:t xml:space="preserve">Young men’s counsel: respond with severity;</w:t>
            </w:r>
            <w:r>
              <w:t xml:space="preserve"> </w:t>
            </w:r>
            <w:r>
              <w:t xml:space="preserve">“My little finger is thicker than my father’s loins”</w:t>
            </w:r>
          </w:p>
        </w:tc>
        <w:tc>
          <w:tcPr/>
          <w:p>
            <w:pPr>
              <w:pStyle w:val="Compact"/>
            </w:pPr>
            <w:r>
              <w:t xml:space="preserve">The counsel is contemptuous in both content and imagery; it mistakes dominance for strength</w:t>
            </w:r>
          </w:p>
        </w:tc>
      </w:tr>
      <w:tr>
        <w:tc>
          <w:tcPr/>
          <w:p>
            <w:pPr>
              <w:pStyle w:val="Compact"/>
            </w:pPr>
            <w:r>
              <w:t xml:space="preserve">12-14</w:t>
            </w:r>
          </w:p>
        </w:tc>
        <w:tc>
          <w:tcPr/>
          <w:p>
            <w:pPr>
              <w:pStyle w:val="Compact"/>
            </w:pPr>
            <w:r>
              <w:t xml:space="preserve">Rehoboam delivers the harsh answer on the third day</w:t>
            </w:r>
          </w:p>
        </w:tc>
        <w:tc>
          <w:tcPr/>
          <w:p>
            <w:pPr>
              <w:pStyle w:val="Compact"/>
            </w:pPr>
            <w:r>
              <w:t xml:space="preserve">He follows the young men’s script verbatim — no independent judgment, no wisdom</w:t>
            </w:r>
          </w:p>
        </w:tc>
      </w:tr>
      <w:tr>
        <w:tc>
          <w:tcPr/>
          <w:p>
            <w:pPr>
              <w:pStyle w:val="Compact"/>
            </w:pPr>
            <w:r>
              <w:t xml:space="preserve">15</w:t>
            </w:r>
          </w:p>
        </w:tc>
        <w:tc>
          <w:tcPr/>
          <w:p>
            <w:pPr>
              <w:pStyle w:val="Compact"/>
            </w:pPr>
            <w:r>
              <w:t xml:space="preserve">Narrator’s theological aside:</w:t>
            </w:r>
            <w:r>
              <w:t xml:space="preserve"> </w:t>
            </w:r>
            <w:r>
              <w:t xml:space="preserve">“It was a turn of affairs brought about by the LORD to fulfill his word”</w:t>
            </w:r>
          </w:p>
        </w:tc>
        <w:tc>
          <w:tcPr/>
          <w:p>
            <w:pPr>
              <w:pStyle w:val="Compact"/>
            </w:pPr>
            <w:r>
              <w:t xml:space="preserve">Pivotal verse — establishes divine sovereignty over the human decision; references Ahijah’s prophecy (ch. 11)</w:t>
            </w:r>
          </w:p>
        </w:tc>
      </w:tr>
      <w:tr>
        <w:tc>
          <w:tcPr/>
          <w:p>
            <w:pPr>
              <w:pStyle w:val="Compact"/>
            </w:pPr>
            <w:r>
              <w:t xml:space="preserve">16</w:t>
            </w:r>
          </w:p>
        </w:tc>
        <w:tc>
          <w:tcPr/>
          <w:p>
            <w:pPr>
              <w:pStyle w:val="Compact"/>
            </w:pPr>
            <w:r>
              <w:t xml:space="preserve">The northern tribes’ response:</w:t>
            </w:r>
            <w:r>
              <w:t xml:space="preserve"> </w:t>
            </w:r>
            <w:r>
              <w:t xml:space="preserve">“What portion do we have in David?… To your tents, O Israel!”</w:t>
            </w:r>
          </w:p>
        </w:tc>
        <w:tc>
          <w:tcPr/>
          <w:p>
            <w:pPr>
              <w:pStyle w:val="Compact"/>
            </w:pPr>
            <w:r>
              <w:t xml:space="preserve">The cry echoes 2 Samuel 20:1 — a pre-existing northern grievance now discharged permanently</w:t>
            </w:r>
          </w:p>
        </w:tc>
      </w:tr>
      <w:tr>
        <w:tc>
          <w:tcPr/>
          <w:p>
            <w:pPr>
              <w:pStyle w:val="Compact"/>
            </w:pPr>
            <w:r>
              <w:t xml:space="preserve">17</w:t>
            </w:r>
          </w:p>
        </w:tc>
        <w:tc>
          <w:tcPr/>
          <w:p>
            <w:pPr>
              <w:pStyle w:val="Compact"/>
            </w:pPr>
            <w:r>
              <w:t xml:space="preserve">Rehoboam retains authority over Judah</w:t>
            </w:r>
          </w:p>
        </w:tc>
        <w:tc>
          <w:tcPr/>
          <w:p>
            <w:pPr>
              <w:pStyle w:val="Compact"/>
            </w:pPr>
            <w:r>
              <w:t xml:space="preserve">The Davidic kingdom does not disappear — it narrows to its covenant core</w:t>
            </w:r>
          </w:p>
        </w:tc>
      </w:tr>
      <w:tr>
        <w:tc>
          <w:tcPr/>
          <w:p>
            <w:pPr>
              <w:pStyle w:val="Compact"/>
            </w:pPr>
            <w:r>
              <w:t xml:space="preserve">18</w:t>
            </w:r>
          </w:p>
        </w:tc>
        <w:tc>
          <w:tcPr/>
          <w:p>
            <w:pPr>
              <w:pStyle w:val="Compact"/>
            </w:pPr>
            <w:r>
              <w:t xml:space="preserve">Rehoboam sends Adoram (overseer of forced labor) to the north; the people stone him; Rehoboam flees to Jerusalem</w:t>
            </w:r>
          </w:p>
        </w:tc>
        <w:tc>
          <w:tcPr/>
          <w:p>
            <w:pPr>
              <w:pStyle w:val="Compact"/>
            </w:pPr>
            <w:r>
              <w:t xml:space="preserve">Sending the labor overseer is catastrophically tone-deaf — an act of continued contempt; the stoning marks the point of no return</w:t>
            </w:r>
          </w:p>
        </w:tc>
      </w:tr>
      <w:tr>
        <w:tc>
          <w:tcPr/>
          <w:p>
            <w:pPr>
              <w:pStyle w:val="Compact"/>
            </w:pPr>
            <w:r>
              <w:t xml:space="preserve">19</w:t>
            </w:r>
          </w:p>
        </w:tc>
        <w:tc>
          <w:tcPr/>
          <w:p>
            <w:pPr>
              <w:pStyle w:val="Compact"/>
            </w:pPr>
            <w:r>
              <w:t xml:space="preserve">Narrator’s summary:</w:t>
            </w:r>
            <w:r>
              <w:t xml:space="preserve"> </w:t>
            </w:r>
            <w:r>
              <w:t xml:space="preserve">“So Israel has been in rebellion against the house of David to this day”</w:t>
            </w:r>
          </w:p>
        </w:tc>
        <w:tc>
          <w:tcPr/>
          <w:p>
            <w:pPr>
              <w:pStyle w:val="Compact"/>
            </w:pPr>
            <w:r>
              <w:t xml:space="preserve">Editorial note; the narrator writes from a later vantage point; the breach is permanent</w:t>
            </w:r>
          </w:p>
        </w:tc>
      </w:tr>
      <w:tr>
        <w:tc>
          <w:tcPr/>
          <w:p>
            <w:pPr>
              <w:pStyle w:val="Compact"/>
            </w:pPr>
            <w:r>
              <w:t xml:space="preserve">20</w:t>
            </w:r>
          </w:p>
        </w:tc>
        <w:tc>
          <w:tcPr/>
          <w:p>
            <w:pPr>
              <w:pStyle w:val="Compact"/>
            </w:pPr>
            <w:r>
              <w:t xml:space="preserve">All Israel makes Jeroboam king; only Judah and Benjamin remain with the Davidic house</w:t>
            </w:r>
          </w:p>
        </w:tc>
        <w:tc>
          <w:tcPr/>
          <w:p>
            <w:pPr>
              <w:pStyle w:val="Compact"/>
            </w:pPr>
            <w:r>
              <w:t xml:space="preserve">The political fracture is complete</w:t>
            </w:r>
          </w:p>
        </w:tc>
      </w:tr>
      <w:tr>
        <w:tc>
          <w:tcPr/>
          <w:p>
            <w:pPr>
              <w:pStyle w:val="Compact"/>
            </w:pPr>
            <w:r>
              <w:t xml:space="preserve">21-24</w:t>
            </w:r>
          </w:p>
        </w:tc>
        <w:tc>
          <w:tcPr/>
          <w:p>
            <w:pPr>
              <w:pStyle w:val="Compact"/>
            </w:pPr>
            <w:r>
              <w:t xml:space="preserve">Rehoboam musters 180,000 warriors to retake the north; Shemaiah brings God’s word forbidding the campaign</w:t>
            </w:r>
          </w:p>
        </w:tc>
        <w:tc>
          <w:tcPr/>
          <w:p>
            <w:pPr>
              <w:pStyle w:val="Compact"/>
            </w:pPr>
            <w:r>
              <w:t xml:space="preserve">God’s restraining word:</w:t>
            </w:r>
            <w:r>
              <w:t xml:space="preserve"> </w:t>
            </w:r>
            <w:r>
              <w:t xml:space="preserve">“You shall not go up or fight against your relatives… this thing is from me.”</w:t>
            </w:r>
            <w:r>
              <w:t xml:space="preserve"> </w:t>
            </w:r>
            <w:r>
              <w:t xml:space="preserve">Second explicit divine commentary on the division</w:t>
            </w:r>
          </w:p>
        </w:tc>
      </w:tr>
      <w:tr>
        <w:tc>
          <w:tcPr/>
          <w:p>
            <w:pPr>
              <w:pStyle w:val="Compact"/>
            </w:pPr>
            <w:r>
              <w:t xml:space="preserve">25</w:t>
            </w:r>
          </w:p>
        </w:tc>
        <w:tc>
          <w:tcPr/>
          <w:p>
            <w:pPr>
              <w:pStyle w:val="Compact"/>
            </w:pPr>
            <w:r>
              <w:t xml:space="preserve">Jeroboam fortifies Shechem and Penuel</w:t>
            </w:r>
          </w:p>
        </w:tc>
        <w:tc>
          <w:tcPr/>
          <w:p>
            <w:pPr>
              <w:pStyle w:val="Compact"/>
            </w:pPr>
            <w:r>
              <w:t xml:space="preserve">Political consolidation of the new northern kingdom</w:t>
            </w:r>
          </w:p>
        </w:tc>
      </w:tr>
      <w:tr>
        <w:tc>
          <w:tcPr/>
          <w:p>
            <w:pPr>
              <w:pStyle w:val="Compact"/>
            </w:pPr>
            <w:r>
              <w:t xml:space="preserve">26-27</w:t>
            </w:r>
          </w:p>
        </w:tc>
        <w:tc>
          <w:tcPr/>
          <w:p>
            <w:pPr>
              <w:pStyle w:val="Compact"/>
            </w:pPr>
            <w:r>
              <w:t xml:space="preserve">Jeroboam’s internal fear: if the people go to Jerusalem to worship, their hearts will return to Rehoboam</w:t>
            </w:r>
          </w:p>
        </w:tc>
        <w:tc>
          <w:tcPr/>
          <w:p>
            <w:pPr>
              <w:pStyle w:val="Compact"/>
            </w:pPr>
            <w:r>
              <w:t xml:space="preserve">His religious innovation is explicitly political in motivation — the text does not hide this</w:t>
            </w:r>
          </w:p>
        </w:tc>
      </w:tr>
      <w:tr>
        <w:tc>
          <w:tcPr/>
          <w:p>
            <w:pPr>
              <w:pStyle w:val="Compact"/>
            </w:pPr>
            <w:r>
              <w:t xml:space="preserve">28-29</w:t>
            </w:r>
          </w:p>
        </w:tc>
        <w:tc>
          <w:tcPr/>
          <w:p>
            <w:pPr>
              <w:pStyle w:val="Compact"/>
            </w:pPr>
            <w:r>
              <w:t xml:space="preserve">Jeroboam makes two golden calves; installs them at Bethel and Dan; echoes Aaron’s formula</w:t>
            </w:r>
          </w:p>
        </w:tc>
        <w:tc>
          <w:tcPr/>
          <w:p>
            <w:pPr>
              <w:pStyle w:val="Compact"/>
            </w:pPr>
            <w:r>
              <w:t xml:space="preserve">The calves are geographically strategic — Bethel (southern border) and Dan (northern border) bracket the entire kingdom</w:t>
            </w:r>
          </w:p>
        </w:tc>
      </w:tr>
      <w:tr>
        <w:tc>
          <w:tcPr/>
          <w:p>
            <w:pPr>
              <w:pStyle w:val="Compact"/>
            </w:pPr>
            <w:r>
              <w:t xml:space="preserve">30</w:t>
            </w:r>
          </w:p>
        </w:tc>
        <w:tc>
          <w:tcPr/>
          <w:p>
            <w:pPr>
              <w:pStyle w:val="Compact"/>
            </w:pPr>
            <w:r>
              <w:t xml:space="preserve">Narrator:</w:t>
            </w:r>
            <w:r>
              <w:t xml:space="preserve"> </w:t>
            </w:r>
            <w:r>
              <w:t xml:space="preserve">“This thing became a sin”</w:t>
            </w:r>
          </w:p>
        </w:tc>
        <w:tc>
          <w:tcPr/>
          <w:p>
            <w:pPr>
              <w:pStyle w:val="Compact"/>
            </w:pPr>
            <w:r>
              <w:t xml:space="preserve">Blunt editorial verdict; no softening</w:t>
            </w:r>
          </w:p>
        </w:tc>
      </w:tr>
      <w:tr>
        <w:tc>
          <w:tcPr/>
          <w:p>
            <w:pPr>
              <w:pStyle w:val="Compact"/>
            </w:pPr>
            <w:r>
              <w:t xml:space="preserve">31</w:t>
            </w:r>
          </w:p>
        </w:tc>
        <w:tc>
          <w:tcPr/>
          <w:p>
            <w:pPr>
              <w:pStyle w:val="Compact"/>
            </w:pPr>
            <w:r>
              <w:t xml:space="preserve">Jeroboam builds high places; appoints non-Levitical priests</w:t>
            </w:r>
          </w:p>
        </w:tc>
        <w:tc>
          <w:tcPr/>
          <w:p>
            <w:pPr>
              <w:pStyle w:val="Compact"/>
            </w:pPr>
            <w:r>
              <w:t xml:space="preserve">A second-order violation: not merely the wrong icons but the wrong priesthood</w:t>
            </w:r>
          </w:p>
        </w:tc>
      </w:tr>
      <w:tr>
        <w:tc>
          <w:tcPr/>
          <w:p>
            <w:pPr>
              <w:pStyle w:val="Compact"/>
            </w:pPr>
            <w:r>
              <w:t xml:space="preserve">32-33</w:t>
            </w:r>
          </w:p>
        </w:tc>
        <w:tc>
          <w:tcPr/>
          <w:p>
            <w:pPr>
              <w:pStyle w:val="Compact"/>
            </w:pPr>
            <w:r>
              <w:t xml:space="preserve">Jeroboam institutes a counterfeit festival on the 15th of the 8th month (one month after the legitimate Feast of Tabernacles)</w:t>
            </w:r>
          </w:p>
        </w:tc>
        <w:tc>
          <w:tcPr/>
          <w:p>
            <w:pPr>
              <w:pStyle w:val="Compact"/>
            </w:pPr>
            <w:r>
              <w:t xml:space="preserve">A third-order violation: not merely the wrong priesthood but the wrong calendar; Jeroboam has now systematically replaced every component of covenant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Assembly at Shechem: A Kingdom on the Knife’s Edge</w:t>
            </w:r>
          </w:p>
        </w:tc>
      </w:tr>
      <w:tr>
        <w:tc>
          <w:tcPr/>
          <w:p>
            <w:pPr>
              <w:pStyle w:val="Compact"/>
            </w:pPr>
            <w:r>
              <w:t xml:space="preserve">2</w:t>
            </w:r>
          </w:p>
        </w:tc>
        <w:tc>
          <w:tcPr/>
          <w:p>
            <w:pPr>
              <w:pStyle w:val="Compact"/>
            </w:pPr>
            <w:r>
              <w:t xml:space="preserve">6-14</w:t>
            </w:r>
          </w:p>
        </w:tc>
        <w:tc>
          <w:tcPr/>
          <w:p>
            <w:pPr>
              <w:pStyle w:val="Compact"/>
            </w:pPr>
            <w:r>
              <w:t xml:space="preserve">Two Counsels, One Choice: Rehoboam Chooses Contempt</w:t>
            </w:r>
          </w:p>
        </w:tc>
      </w:tr>
      <w:tr>
        <w:tc>
          <w:tcPr/>
          <w:p>
            <w:pPr>
              <w:pStyle w:val="Compact"/>
            </w:pPr>
            <w:r>
              <w:t xml:space="preserve">3</w:t>
            </w:r>
          </w:p>
        </w:tc>
        <w:tc>
          <w:tcPr/>
          <w:p>
            <w:pPr>
              <w:pStyle w:val="Compact"/>
            </w:pPr>
            <w:r>
              <w:t xml:space="preserve">15-19</w:t>
            </w:r>
          </w:p>
        </w:tc>
        <w:tc>
          <w:tcPr/>
          <w:p>
            <w:pPr>
              <w:pStyle w:val="Compact"/>
            </w:pPr>
            <w:r>
              <w:t xml:space="preserve">The Break: God’s Sovereignty and Man’s Folly Converge</w:t>
            </w:r>
          </w:p>
        </w:tc>
      </w:tr>
      <w:tr>
        <w:tc>
          <w:tcPr/>
          <w:p>
            <w:pPr>
              <w:pStyle w:val="Compact"/>
            </w:pPr>
            <w:r>
              <w:t xml:space="preserve">4</w:t>
            </w:r>
          </w:p>
        </w:tc>
        <w:tc>
          <w:tcPr/>
          <w:p>
            <w:pPr>
              <w:pStyle w:val="Compact"/>
            </w:pPr>
            <w:r>
              <w:t xml:space="preserve">20-24</w:t>
            </w:r>
          </w:p>
        </w:tc>
        <w:tc>
          <w:tcPr/>
          <w:p>
            <w:pPr>
              <w:pStyle w:val="Compact"/>
            </w:pPr>
            <w:r>
              <w:t xml:space="preserve">God Restrains the Sword: The Division Held Without Civil War</w:t>
            </w:r>
          </w:p>
        </w:tc>
      </w:tr>
      <w:tr>
        <w:tc>
          <w:tcPr/>
          <w:p>
            <w:pPr>
              <w:pStyle w:val="Compact"/>
            </w:pPr>
            <w:r>
              <w:t xml:space="preserve">5</w:t>
            </w:r>
          </w:p>
        </w:tc>
        <w:tc>
          <w:tcPr/>
          <w:p>
            <w:pPr>
              <w:pStyle w:val="Compact"/>
            </w:pPr>
            <w:r>
              <w:t xml:space="preserve">25-33</w:t>
            </w:r>
          </w:p>
        </w:tc>
        <w:tc>
          <w:tcPr/>
          <w:p>
            <w:pPr>
              <w:pStyle w:val="Compact"/>
            </w:pPr>
            <w:r>
              <w:t xml:space="preserve">Jeroboam’s Counter-Kingdom: Political Fear Produces Spiritual Ruin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kingdom divides through human pride, fulfilling God’s sovereign word and inaugurating Israel’s long covenant decline.</w:t>
      </w:r>
    </w:p>
    <w:p>
      <w:pPr>
        <w:pStyle w:val="BodyText"/>
      </w:pPr>
      <w:r>
        <w:rPr>
          <w:b/>
          <w:bCs/>
        </w:rPr>
        <w:t xml:space="preserve">Primary Claim:</w:t>
      </w:r>
      <w:r>
        <w:t xml:space="preserve"> </w:t>
      </w:r>
      <w:r>
        <w:t xml:space="preserve">God rules over the prideful decisions of leaders and the corrupted worship of nations — not by preventing their folly but by working through it to accomplish His purposes, while the folly itself exacts a devastating generational price.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Pride does not merely damage relationships — it destroys them, and the damage compounds across generations.</w:t>
      </w:r>
      <w:r>
        <w:t xml:space="preserve"> </w:t>
      </w:r>
      <w:r>
        <w:rPr>
          <w:i/>
          <w:iCs/>
        </w:rPr>
        <w:t xml:space="preserve">(Mind/Belief)</w:t>
      </w:r>
      <w:r>
        <w:t xml:space="preserve"> </w:t>
      </w:r>
      <w:r>
        <w:t xml:space="preserve">Rehoboam did not merely make a tactical error; he made a proud, contemptuous choice that shattered a kingdom built over two generations of God’s patient provision. The chapter invites readers to examine their own contemptuous responses — moments when dominance feels like strength, when</w:t>
      </w:r>
      <w:r>
        <w:t xml:space="preserve"> </w:t>
      </w:r>
      <w:r>
        <w:t xml:space="preserve">“showing them who’s in charge”</w:t>
      </w:r>
      <w:r>
        <w:t xml:space="preserve"> </w:t>
      </w:r>
      <w:r>
        <w:t xml:space="preserve">feels like leadership. The destruction that follows Rehoboam’s three sentences of contempt cannot be undone by his subsequent 180,000 soldiers. Some relational fractures, once opened by pride, do not close. The specific form belief must change here: stop believing that contempt and severity project strength. They project insecurity and produce rupture.</w:t>
      </w:r>
    </w:p>
    <w:p>
      <w:pPr>
        <w:pStyle w:val="BodyText"/>
      </w:pPr>
      <w:r>
        <w:rPr>
          <w:b/>
          <w:bCs/>
        </w:rPr>
        <w:t xml:space="preserve">2. Identify whose counsel you trust — and audit whether that council is positioned to tell you the truth.</w:t>
      </w:r>
      <w:r>
        <w:t xml:space="preserve"> </w:t>
      </w:r>
      <w:r>
        <w:rPr>
          <w:i/>
          <w:iCs/>
        </w:rPr>
        <w:t xml:space="preserve">(Will/Behavior)</w:t>
      </w:r>
      <w:r>
        <w:t xml:space="preserve"> </w:t>
      </w:r>
      <w:r>
        <w:t xml:space="preserve">Rehoboam had access to genuine wisdom (the elders who served Solomon) and chose instead the voices of peers who would reinforce what he already wanted to do. This is not an ancient political problem — it is a permanent human tendency. The application is concrete and behavioral: examine the inner circle. Who are the three to five people you consult on significant decisions? Are they positioned to disagree with you? Do they have your long-term good or your short-term approval in view? Are they wise by track record, or simply close by affinity? Restructure the council if necessary. The cost of a yes-men council is always paid downstream.</w:t>
      </w:r>
    </w:p>
    <w:p>
      <w:pPr>
        <w:pStyle w:val="BodyText"/>
      </w:pPr>
      <w:r>
        <w:rPr>
          <w:b/>
          <w:bCs/>
        </w:rPr>
        <w:t xml:space="preserve">3. Rest in God’s sovereign governance of history even when human folly seems to be running unchecked.</w:t>
      </w:r>
      <w:r>
        <w:t xml:space="preserve"> </w:t>
      </w:r>
      <w:r>
        <w:rPr>
          <w:i/>
          <w:iCs/>
        </w:rPr>
        <w:t xml:space="preserve">(Affections/Worship)</w:t>
      </w:r>
      <w:r>
        <w:t xml:space="preserve"> </w:t>
      </w:r>
      <w:r>
        <w:t xml:space="preserve">The narrator’s theological asides in verses 15 and 24 —</w:t>
      </w:r>
      <w:r>
        <w:t xml:space="preserve"> </w:t>
      </w:r>
      <w:r>
        <w:t xml:space="preserve">“this was from the LORD”</w:t>
      </w:r>
      <w:r>
        <w:t xml:space="preserve"> </w:t>
      </w:r>
      <w:r>
        <w:t xml:space="preserve">— are not detached observations. They are pastoral provisions. God intends His people to read this history and feel the weight of both truths simultaneously: human beings are genuinely responsible for their folly, and God is genuinely governing the outcome for covenant purposes. When leaders fail catastrophically — in nations, in institutions, in churches, in families — the believer is not left with only despair or cynicism. The proper affective response this chapter calls for is not resignation (</w:t>
      </w:r>
      <w:r>
        <w:t xml:space="preserve">“God is in control, so nothing matters”</w:t>
      </w:r>
      <w:r>
        <w:t xml:space="preserve">) but rest and confidence in the God who has never lost the thread of His purposes, even when every human actor is failing.</w:t>
      </w:r>
    </w:p>
    <w:p>
      <w:pPr>
        <w:pStyle w:val="BodyText"/>
      </w:pPr>
      <w:r>
        <w:rPr>
          <w:b/>
          <w:bCs/>
        </w:rPr>
        <w:t xml:space="preserve">4. Recognize that religious convenience is not a spiritually neutral choice.</w:t>
      </w:r>
      <w:r>
        <w:t xml:space="preserve"> </w:t>
      </w:r>
      <w:r>
        <w:rPr>
          <w:i/>
          <w:iCs/>
        </w:rPr>
        <w:t xml:space="preserve">(Mind/Belief)</w:t>
      </w:r>
      <w:r>
        <w:t xml:space="preserve"> </w:t>
      </w:r>
      <w:r>
        <w:t xml:space="preserve">Jeroboam’s innovation is not presented as atheism — it is presented as practical religion. Golden calves at Bethel and Dan are more accessible than Jerusalem. A flexible priesthood is more convenient than a Levitical one. A calendar adjusted by one month accommodates the agricultural realities of the north better than Jerusalem’s schedule. Every compromise has a reasonable justification. The text refuses to honor those justifications.</w:t>
      </w:r>
      <w:r>
        <w:t xml:space="preserve"> </w:t>
      </w:r>
      <w:r>
        <w:t xml:space="preserve">“This thing became a sin”</w:t>
      </w:r>
      <w:r>
        <w:t xml:space="preserve"> </w:t>
      </w:r>
      <w:r>
        <w:t xml:space="preserve">regardless of the political logic that produced it. Readers must be confronted with the same question: where have they substituted religious convenience for covenant faithfulness? Where has pragmatism quietly replaced prescription? Jeroboam is not a villain who openly hated God — he is a pragmatist who adjusted worship to fit his circumstances and, in doing so, led a nation into centuries of spiritual ruin.</w:t>
      </w:r>
    </w:p>
    <w:p>
      <w:pPr>
        <w:pStyle w:val="BodyText"/>
      </w:pPr>
      <w:r>
        <w:rPr>
          <w:b/>
          <w:bCs/>
        </w:rPr>
        <w:t xml:space="preserve">5. Grieve the generational cost of covenant unfaithfulness — and let that grief motivate covenant faithfulness in the present generation.</w:t>
      </w:r>
      <w:r>
        <w:t xml:space="preserve"> </w:t>
      </w:r>
      <w:r>
        <w:rPr>
          <w:i/>
          <w:iCs/>
        </w:rPr>
        <w:t xml:space="preserve">(Affections/Worship)</w:t>
      </w:r>
      <w:r>
        <w:t xml:space="preserve"> </w:t>
      </w:r>
      <w:r>
        <w:t xml:space="preserve">The phrase</w:t>
      </w:r>
      <w:r>
        <w:t xml:space="preserve"> </w:t>
      </w:r>
      <w:r>
        <w:t xml:space="preserve">“to this day”</w:t>
      </w:r>
      <w:r>
        <w:t xml:space="preserve"> </w:t>
      </w:r>
      <w:r>
        <w:t xml:space="preserve">in verse 19 is the narrator’s wound. The division of the kingdom at 1 Kings 12 is never healed in the Old Testament. The ten northern tribes are eventually exiled; the southern kingdom follows. What begins with Rehoboam’s three contemptuous sentences and Jeroboam’s golden calves ends with the destruction of two nations and the silence of God for four hundred years. This should produce grief — not abstract historical regret, but a holy sorrow for what pride and corrupted worship cost. That grief, rightly directed, becomes motivation: what am I doing today that will be paid for by those who come after me? What covenantal faithfulness can I establish now that will bear fruit in the next generation?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12 teaches with unusual clarity that God’s sovereign purposes are not in competition with human responsibility — they operate through it. Rehoboam is genuinely foolish and genuinely culpable; Jeroboam is genuinely calculating and genuinely sinful; and both men’s choices are genuine instruments of God’s covenantal purposes announced through Ahijah in the previous chapter. The chapter also teaches that the form of worship matters covenantally, not merely its emotional sincerity. Jeroboam presumably did not intend to lead Israel into thoroughgoing apostasy — he intended a politically functional alternative to Jerusalem-centered religion — but the text’s repeated verdicts show that God does not grade worship on pragmatic intent. Finally, the chapter demonstrates the generative power of leadership failure: Rehoboam’s single day of foolish choices and Jeroboam’s single act of cultic innovation are described throughout the rest of Kings as the source-point of Israel’s entire northern history of covenant betrayal. Leadership decisions are never merely personal.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Kings 12 is a sustained demonstration of the Reformed doctrine of providence — specifically the teaching that God governs all things, including sinful human decisions, without Himself authoring the sin or diminishing human culpability. The narrator’s twice-given theological commentary (</w:t>
      </w:r>
      <w:r>
        <w:t xml:space="preserve">“this was from the LORD”</w:t>
      </w:r>
      <w:r>
        <w:t xml:space="preserve">) is not apologetics for God — it is doxology. God is not scrambling to recover from Rehoboam’s folly; He is ruling through it. This is the God of the Westminster Confession’s chapter on providence: the God who</w:t>
      </w:r>
      <w:r>
        <w:t xml:space="preserve"> </w:t>
      </w:r>
      <w:r>
        <w:t xml:space="preserve">“most holy, most freely, and most sovereignly”</w:t>
      </w:r>
      <w:r>
        <w:t xml:space="preserve"> </w:t>
      </w:r>
      <w:r>
        <w:t xml:space="preserve">works all things after the counsel of His will, even when His instruments are acting from pride and fear. Additionally, the chapter’s treatment of Jeroboam’s cultic innovations speaks directly to the Reformed distinctive of the regulative principle of worship — the conviction that worship must be governed by God’s prescription, not human ingenuity. The</w:t>
      </w:r>
      <w:r>
        <w:t xml:space="preserve"> </w:t>
      </w:r>
      <w:r>
        <w:t xml:space="preserve">“Jeroboam principle”</w:t>
      </w:r>
      <w:r>
        <w:t xml:space="preserve"> </w:t>
      </w:r>
      <w:r>
        <w:t xml:space="preserve">— that will-worship always becomes a sin regardless of its Yahwistic veneer — is one of the clearest narrative illustrations of the regulative principle in all of Scripture. Reformed theology’s insistence that how we worship is as covenantally serious as whom we worship finds here its most dramatic Old Testament demonstration.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surprised by the leaders who fail you, the institutions that fracture, or the worship that gets corrupted for convenience — He is ruling through all of it toward purposes your pride and Jeroboam’s golden calves cannot prevent. But do not mistake His sovereignty for permission. The pride that split a kingdom, and the pragmatic religion that kept it split for two centuries, exacted a price measured in generations and exile. Stop choosing the counsel that tells you what you want to hear. Stop adjusting worship to fit your circumstances. The cost is always paid — and rarely by the one who made the choice.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Rehoboam primarily as a leadership case study rather than a theological text.</w:t>
      </w:r>
      <w:r>
        <w:t xml:space="preserve"> </w:t>
      </w:r>
      <w:r>
        <w:t xml:space="preserve">The management-literature reading of 1 Kings 12 —</w:t>
      </w:r>
      <w:r>
        <w:t xml:space="preserve"> </w:t>
      </w:r>
      <w:r>
        <w:t xml:space="preserve">“here are three principles for good leadership from Rehoboam’s mistake”</w:t>
      </w:r>
      <w:r>
        <w:t xml:space="preserve"> </w:t>
      </w:r>
      <w:r>
        <w:t xml:space="preserve">— is not wrong exactly, but it misses the theological spine of the chapter. The narrator does not give us this story so we can learn how to build better leadership pipelines. He gives it to us so we can see God governing human history toward covenant purposes through human folly, and to fear both the folly and the God who governs it. Sermons that stop at</w:t>
      </w:r>
      <w:r>
        <w:t xml:space="preserve"> </w:t>
      </w:r>
      <w:r>
        <w:t xml:space="preserve">“listen to wise counsel, not yes-men”</w:t>
      </w:r>
      <w:r>
        <w:t xml:space="preserve"> </w:t>
      </w:r>
      <w:r>
        <w:t xml:space="preserve">have preached a business seminar from a sacred text.</w:t>
      </w:r>
    </w:p>
    <w:p>
      <w:pPr>
        <w:numPr>
          <w:ilvl w:val="0"/>
          <w:numId w:val="1002"/>
        </w:numPr>
      </w:pPr>
      <w:r>
        <w:rPr>
          <w:b/>
          <w:bCs/>
        </w:rPr>
        <w:t xml:space="preserve">Softening the divine sovereignty language to protect human accountability.</w:t>
      </w:r>
      <w:r>
        <w:t xml:space="preserve"> </w:t>
      </w:r>
      <w:r>
        <w:t xml:space="preserve">Verse 15 is not embarrassing — it is the point. Preachers who hedge the</w:t>
      </w:r>
      <w:r>
        <w:t xml:space="preserve"> </w:t>
      </w:r>
      <w:r>
        <w:t xml:space="preserve">“this was from the LORD”</w:t>
      </w:r>
      <w:r>
        <w:t xml:space="preserve"> </w:t>
      </w:r>
      <w:r>
        <w:t xml:space="preserve">language with so many qualifications that God’s governance becomes merely His foreknowledge have reversed the narrator’s intent. The text holds both truths in full: Rehoboam was a fool, and God was governing. Reformed preaching does not need to apologize for either half of that claim.</w:t>
      </w:r>
    </w:p>
    <w:p>
      <w:pPr>
        <w:numPr>
          <w:ilvl w:val="0"/>
          <w:numId w:val="1002"/>
        </w:numPr>
      </w:pPr>
      <w:r>
        <w:rPr>
          <w:b/>
          <w:bCs/>
        </w:rPr>
        <w:t xml:space="preserve">Treating Jeroboam’s golden calves as crude idolatry rather than sophisticated syncretism.</w:t>
      </w:r>
      <w:r>
        <w:t xml:space="preserve"> </w:t>
      </w:r>
      <w:r>
        <w:t xml:space="preserve">The pastoral danger of 1 Kings 12 is not that congregants are building physical golden calves — it is that they are doing what Jeroboam did: substituting accessible, convenient, self-designed religious practice for the prescribed worship of the covenant God. The application of the regulative principle in preaching this chapter should not land primarily on church polity (though that is legitimate) but on the interior question: where has my worship of God been quietly redesigned around my convenience, my preferences, and my political needs?</w:t>
      </w:r>
    </w:p>
    <w:p>
      <w:pPr>
        <w:numPr>
          <w:ilvl w:val="0"/>
          <w:numId w:val="1002"/>
        </w:numPr>
      </w:pPr>
      <w:r>
        <w:rPr>
          <w:b/>
          <w:bCs/>
        </w:rPr>
        <w:t xml:space="preserve">Failing to connect the division to the Davidic covenant.</w:t>
      </w:r>
      <w:r>
        <w:t xml:space="preserve"> </w:t>
      </w:r>
      <w:r>
        <w:t xml:space="preserve">The fracture of the kingdom is not merely a political tragedy — it is a covenant rupture. The cry</w:t>
      </w:r>
      <w:r>
        <w:t xml:space="preserve"> </w:t>
      </w:r>
      <w:r>
        <w:t xml:space="preserve">“What portion do we have in David?”</w:t>
      </w:r>
      <w:r>
        <w:t xml:space="preserve"> </w:t>
      </w:r>
      <w:r>
        <w:t xml:space="preserve">is theologically loaded. The house of David is the covenant vehicle through which God promised the eternal kingdom (2 Samuel 7). The chapter’s resonance deepens considerably when readers understand that the Davidic line is being narrowed, not destroyed — and that its narrowing points forward to the One who comes as the final Davidic king, rejected by many and accepted by the remnant.</w:t>
      </w:r>
    </w:p>
    <w:p>
      <w:pPr>
        <w:numPr>
          <w:ilvl w:val="0"/>
          <w:numId w:val="1002"/>
        </w:numPr>
      </w:pPr>
      <w:r>
        <w:rPr>
          <w:b/>
          <w:bCs/>
        </w:rPr>
        <w:t xml:space="preserve">Missing the double tragedy structure of the chapter.</w:t>
      </w:r>
      <w:r>
        <w:t xml:space="preserve"> </w:t>
      </w:r>
      <w:r>
        <w:t xml:space="preserve">First Kings 12 has two major movements, and many expositions preach only the first (Rehoboam’s folly, vv. 1-24) and treat verses 25-33 as an addendum. But Jeroboam’s golden calves are the chapter’s second and in some ways more consequential tragedy. Rehoboam’s pride broke the kingdom; Jeroboam’s golden calves broke the covenant. Both must be preached with full weight. The chapter’s Primary Claim requires both movements.</w:t>
      </w:r>
    </w:p>
    <w:p>
      <w:pPr>
        <w:numPr>
          <w:ilvl w:val="0"/>
          <w:numId w:val="1002"/>
        </w:numPr>
      </w:pPr>
      <w:r>
        <w:rPr>
          <w:b/>
          <w:bCs/>
        </w:rPr>
        <w:t xml:space="preserve">Applying verse 24 (</w:t>
      </w:r>
      <w:r>
        <w:rPr>
          <w:b/>
          <w:bCs/>
        </w:rPr>
        <w:t xml:space="preserve">“this thing is from me”</w:t>
      </w:r>
      <w:r>
        <w:rPr>
          <w:b/>
          <w:bCs/>
        </w:rPr>
        <w:t xml:space="preserve">) as a general comfort without the surrounding weight.</w:t>
      </w:r>
      <w:r>
        <w:t xml:space="preserve"> </w:t>
      </w:r>
      <w:r>
        <w:t xml:space="preserve">God’s restraining word to Rehoboam in verse 24 —</w:t>
      </w:r>
      <w:r>
        <w:t xml:space="preserve"> </w:t>
      </w:r>
      <w:r>
        <w:t xml:space="preserve">“you shall not go up or fight against your relatives, for this thing is from me”</w:t>
      </w:r>
      <w:r>
        <w:t xml:space="preserve"> </w:t>
      </w:r>
      <w:r>
        <w:t xml:space="preserve">— is sometimes excerpted as a general encouragement toward acceptance of difficult circumstances. In context, it is something more specific and more demanding: God is forbidding a violent attempt to undo what God has ordained. The application is not generic acceptance but the specific calling to stop fighting against providential outcomes with human force. Preach the verse in context or do not preach it in isolation.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